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32"/>
          <w:szCs w:val="32"/>
        </w:rPr>
        <w:t>智慧校园建设项目网络资源统筹和数据共享要求协调单</w:t>
      </w:r>
    </w:p>
    <w:bookmarkEnd w:id="0"/>
    <w:tbl>
      <w:tblPr>
        <w:tblStyle w:val="2"/>
        <w:tblW w:w="8842" w:type="dxa"/>
        <w:tblInd w:w="-2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892"/>
        <w:gridCol w:w="1656"/>
        <w:gridCol w:w="2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项目起止日期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申请单位负责人签字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业务系统管理员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业务系统管理员联系电话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网络资源的协调内容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（说明项目建设必须校级统筹的网络软硬件资源，包括路由器、交换机、网络基础软件服务、通信管线、物联网终端等资源）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公共数据资源的协调内容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（说明项目建设必须校级统筹管理的数据资源内容，必须遵循的校统一身份认证、统一支付、数据编码标准、数据交换、业务集成规范和标准以及所需的计算存储资源等）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其它技术规范要求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（项目建设应符合和国家相关标准。其他需要说明的安全、技术规范等，请在此补充）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信息网络中心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相关科室审核意见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科室负责人签字:            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信息网络中心负责人意见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20" w:firstLineChars="8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负责人签字:             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注：1.本表一式3份，分别由业务单位和部门、智慧校园工作组办公室、国资处各保留1份备案。</w:t>
      </w:r>
    </w:p>
    <w:p>
      <w:pPr>
        <w:ind w:firstLine="480" w:firstLineChars="200"/>
        <w:jc w:val="left"/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2.本表由申请单位根据项目需求，与信息网络中心协商形成一致意见后填写，报信息网络中心审批。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A2248"/>
    <w:rsid w:val="719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2023-04-07T00:31:00Z</dcterms:created>
  <dc:creator>DELL</dc:creator>
  <cp:lastModifiedBy>DELL</cp:lastModifiedBy>
  <dcterms:modified xsi:type="dcterms:W3CDTF">2023-04-07T00:32:28Z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